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 Samsung Galaxy Tab 3 7.0 SM-T210 T211 P3200 T4000E 4000mAh Akku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bookmarkStart w:id="2" w:name="_GoBack"/>
      <w:bookmarkEnd w:id="2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Galaxy Tab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37.0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4000mAh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>For SAMSUNG Galaxy Tab37.0 Original Mobile Phone Li-ion Battery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T4000E 4000mAh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3"/>
      <w:bookmarkStart w:id="1" w:name="OLE_LINK4"/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Samsung Galaxy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Tab37.0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Polymer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 T4000E 4000mAh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3.7v 14.80Wh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Original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apacity: 4000mah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 type: 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oltage: 3.7v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se: for SUMGSNG Galaxy Tab37.0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Packages include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Original Samsung Galaxy Tab 3 7.0 Kids SM-T2105 P3200 T4000E 4000mAh Akku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bookmarkEnd w:id="0"/>
    <w:bookmarkEnd w:id="1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16725"/>
    <w:rsid w:val="000C1034"/>
    <w:rsid w:val="00316725"/>
    <w:rsid w:val="34264C4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2015-06-19T08:19:00Z</dcterms:created>
  <dc:creator>user</dc:creator>
  <cp:lastModifiedBy>Administrator</cp:lastModifiedBy>
  <dcterms:modified xsi:type="dcterms:W3CDTF">2015-06-26T07:39:54Z</dcterms:modified>
  <dc:title>For Original Samsung Galaxy Tab 3 7.0 SM-T210 T211 P3200 T4000E 4000mAh Akku Battery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